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>ukcesywna dostawa materiałów eksploatacyjnych do</w:t>
      </w:r>
      <w:r w:rsidR="006659AF">
        <w:rPr>
          <w:b/>
          <w:color w:val="000000"/>
          <w:bdr w:val="none" w:sz="0" w:space="0" w:color="auto" w:frame="1"/>
        </w:rPr>
        <w:t xml:space="preserve"> drukarek i kserokopiarek w 2023</w:t>
      </w:r>
      <w:bookmarkStart w:id="0" w:name="_GoBack"/>
      <w:bookmarkEnd w:id="0"/>
      <w:r w:rsidRPr="00E976A2">
        <w:rPr>
          <w:b/>
          <w:color w:val="000000"/>
          <w:bdr w:val="none" w:sz="0" w:space="0" w:color="auto" w:frame="1"/>
        </w:rPr>
        <w:t xml:space="preserve"> r. do 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6659AF"/>
    <w:rsid w:val="006A1A28"/>
    <w:rsid w:val="00934022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2023-02-13T11:39:00Z</dcterms:created>
  <dcterms:modified xsi:type="dcterms:W3CDTF">2023-02-13T11:39:00Z</dcterms:modified>
</cp:coreProperties>
</file>